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681B" w14:textId="77777777" w:rsidR="00F84628" w:rsidRDefault="00F84628" w:rsidP="00F84628">
      <w:r>
        <w:t>Dear Sir or Madam:</w:t>
      </w:r>
    </w:p>
    <w:p w14:paraId="5BD7C865" w14:textId="77777777" w:rsidR="00F84628" w:rsidRDefault="00F84628" w:rsidP="00F84628"/>
    <w:p w14:paraId="002FBCD0" w14:textId="77777777" w:rsidR="00F84628" w:rsidRDefault="00F84628" w:rsidP="00F84628">
      <w:r>
        <w:t>This letter is to inform you that one of your passengers is traveling with a medical device.</w:t>
      </w:r>
    </w:p>
    <w:p w14:paraId="426B1D2D" w14:textId="77777777" w:rsidR="00F84628" w:rsidRDefault="00F84628" w:rsidP="00F84628"/>
    <w:p w14:paraId="224B283C" w14:textId="77777777" w:rsidR="00F84628" w:rsidRDefault="00F84628" w:rsidP="00F84628">
      <w:r>
        <w:t xml:space="preserve">The passenger has the Abbott CardioMEMS™ HF System, which includes an implanted sensor and an external Patient Electronic System (PES) used to wirelessly measure and remotely monitor pulmonary artery pressure and heart rate. This information is used by physicians for heart failure management and with the goal of reducing heart failure hospitalizations. This passenger will not need to use the equipment while in flight. </w:t>
      </w:r>
    </w:p>
    <w:p w14:paraId="38534257" w14:textId="77777777" w:rsidR="00F84628" w:rsidRDefault="00F84628" w:rsidP="00F84628">
      <w:r>
        <w:t xml:space="preserve"> </w:t>
      </w:r>
    </w:p>
    <w:p w14:paraId="6D24D473" w14:textId="77777777" w:rsidR="00F84628" w:rsidRDefault="00F84628" w:rsidP="00F84628">
      <w:r>
        <w:t>CardioMEMS Patient Electronics System (PES) Information</w:t>
      </w:r>
    </w:p>
    <w:p w14:paraId="38F73F9B" w14:textId="77777777" w:rsidR="00F84628" w:rsidRDefault="00F84628" w:rsidP="00F84628">
      <w:r>
        <w:t>Total Weight: 8 kg</w:t>
      </w:r>
    </w:p>
    <w:p w14:paraId="004FF2A8" w14:textId="77777777" w:rsidR="00F84628" w:rsidRDefault="00F84628" w:rsidP="00F84628">
      <w:r>
        <w:t>Size: 55 cm x 44 cm x 20 cm</w:t>
      </w:r>
    </w:p>
    <w:p w14:paraId="161CC63D" w14:textId="77777777" w:rsidR="00F84628" w:rsidRDefault="00F84628" w:rsidP="00F84628">
      <w:r>
        <w:t xml:space="preserve">Power: The PES contains one battery (type BR2032), which is acceptable for checked and/or cabin baggage per IATA Dangerous Goods Regulations (DGR) 59th Edition. </w:t>
      </w:r>
    </w:p>
    <w:p w14:paraId="68EDD645" w14:textId="77777777" w:rsidR="00F84628" w:rsidRDefault="00F84628" w:rsidP="00F84628"/>
    <w:p w14:paraId="0742018C" w14:textId="77777777" w:rsidR="00F84628" w:rsidRDefault="00F84628" w:rsidP="00F84628">
      <w:r>
        <w:t>Thank you in advance for your assistance.</w:t>
      </w:r>
    </w:p>
    <w:p w14:paraId="0A4213CE" w14:textId="77777777" w:rsidR="0025217F" w:rsidRDefault="0025217F" w:rsidP="003A7DE1"/>
    <w:p w14:paraId="23FE854D" w14:textId="77777777" w:rsidR="00F84628" w:rsidRDefault="00F84628" w:rsidP="003A7DE1"/>
    <w:p w14:paraId="0D5CC0D9" w14:textId="77777777" w:rsidR="00B92190" w:rsidRDefault="00B92190" w:rsidP="003A7DE1"/>
    <w:p w14:paraId="69FE0E22" w14:textId="77777777" w:rsidR="00B92190" w:rsidRDefault="00B92190" w:rsidP="003A7DE1"/>
    <w:p w14:paraId="5A2AF9BB" w14:textId="77777777" w:rsidR="00B92190" w:rsidRDefault="00B92190" w:rsidP="003A7DE1"/>
    <w:p w14:paraId="187D2B0C" w14:textId="77777777" w:rsidR="00B92190" w:rsidRDefault="00B92190" w:rsidP="003A7DE1"/>
    <w:p w14:paraId="4E061D0C" w14:textId="77777777" w:rsidR="00B92190" w:rsidRDefault="00B92190" w:rsidP="003A7DE1"/>
    <w:p w14:paraId="5314AD81" w14:textId="77777777" w:rsidR="00B92190" w:rsidRDefault="00B92190" w:rsidP="003A7DE1"/>
    <w:p w14:paraId="18F72089" w14:textId="77777777" w:rsidR="00B92190" w:rsidRPr="00B92190" w:rsidRDefault="00B92190" w:rsidP="00B92190">
      <w:pPr>
        <w:rPr>
          <w:sz w:val="12"/>
          <w:szCs w:val="12"/>
        </w:rPr>
      </w:pPr>
      <w:r w:rsidRPr="00B92190">
        <w:rPr>
          <w:b/>
          <w:bCs/>
          <w:sz w:val="12"/>
          <w:szCs w:val="12"/>
        </w:rPr>
        <w:t>Abbott</w:t>
      </w:r>
    </w:p>
    <w:p w14:paraId="5BA7D4F3" w14:textId="77777777" w:rsidR="00B92190" w:rsidRPr="00B92190" w:rsidRDefault="00B92190" w:rsidP="00B92190">
      <w:pPr>
        <w:rPr>
          <w:sz w:val="12"/>
          <w:szCs w:val="12"/>
        </w:rPr>
      </w:pPr>
      <w:r w:rsidRPr="00B92190">
        <w:rPr>
          <w:sz w:val="12"/>
          <w:szCs w:val="12"/>
        </w:rPr>
        <w:t>6101 Stoneridge Dr., Pleasanton, CA 94588 USA, Tel: 1 925 847 8600</w:t>
      </w:r>
    </w:p>
    <w:p w14:paraId="50A15C6C" w14:textId="77777777" w:rsidR="00B92190" w:rsidRPr="00B92190" w:rsidRDefault="00B92190" w:rsidP="00B92190">
      <w:pPr>
        <w:rPr>
          <w:sz w:val="12"/>
          <w:szCs w:val="12"/>
        </w:rPr>
      </w:pPr>
      <w:proofErr w:type="spellStart"/>
      <w:r w:rsidRPr="00B92190">
        <w:rPr>
          <w:sz w:val="12"/>
          <w:szCs w:val="12"/>
        </w:rPr>
        <w:t>Cardiovascular.Abbott</w:t>
      </w:r>
      <w:proofErr w:type="spellEnd"/>
      <w:r w:rsidRPr="00B92190">
        <w:rPr>
          <w:sz w:val="12"/>
          <w:szCs w:val="12"/>
        </w:rPr>
        <w:t>/CardioMEMS</w:t>
      </w:r>
    </w:p>
    <w:p w14:paraId="59637586" w14:textId="77777777" w:rsidR="00B92190" w:rsidRPr="00B92190" w:rsidRDefault="00B92190" w:rsidP="00B92190">
      <w:pPr>
        <w:rPr>
          <w:sz w:val="12"/>
          <w:szCs w:val="12"/>
        </w:rPr>
      </w:pPr>
      <w:r w:rsidRPr="00B92190">
        <w:rPr>
          <w:b/>
          <w:bCs/>
          <w:sz w:val="12"/>
          <w:szCs w:val="12"/>
        </w:rPr>
        <w:t>Rx Only</w:t>
      </w:r>
    </w:p>
    <w:p w14:paraId="04CF3094" w14:textId="1A9D74BF" w:rsidR="00F84628" w:rsidRPr="00B92190" w:rsidRDefault="00B92190" w:rsidP="00B92190">
      <w:pPr>
        <w:spacing w:line="240" w:lineRule="auto"/>
        <w:rPr>
          <w:sz w:val="12"/>
          <w:szCs w:val="12"/>
        </w:rPr>
      </w:pPr>
      <w:r w:rsidRPr="00B92190">
        <w:rPr>
          <w:b/>
          <w:bCs/>
          <w:sz w:val="12"/>
          <w:szCs w:val="12"/>
        </w:rPr>
        <w:t xml:space="preserve">Brief Summary: </w:t>
      </w:r>
      <w:r w:rsidRPr="00B92190">
        <w:rPr>
          <w:sz w:val="12"/>
          <w:szCs w:val="12"/>
        </w:rPr>
        <w:t>Prior to using these devices, please review the Instructions for Use for a complete listing of indications, contraindications, warnings, precautions, potential adverse events and directions for use.</w:t>
      </w:r>
      <w:r>
        <w:rPr>
          <w:sz w:val="12"/>
          <w:szCs w:val="12"/>
        </w:rPr>
        <w:t xml:space="preserve"> </w:t>
      </w:r>
      <w:r w:rsidRPr="00B92190">
        <w:rPr>
          <w:b/>
          <w:bCs/>
          <w:sz w:val="12"/>
          <w:szCs w:val="12"/>
        </w:rPr>
        <w:t xml:space="preserve">CardioMEMS™ HF System Indications and Usage: </w:t>
      </w:r>
      <w:r w:rsidRPr="00B92190">
        <w:rPr>
          <w:sz w:val="12"/>
          <w:szCs w:val="12"/>
        </w:rPr>
        <w:t>The CardioMEMS™ HF System is indicated for wirelessly measuring and monitoring pulmonary artery pressure and heart rate in NYHA Class II or III heart failure patients who either have been hospitalized for heart failure in the previous year and/or have elevated natriuretic peptides. The hemodynamic data are used by physicians for heart failure management with the goal of controlling pulmonary artery pressures and reducing heart failure hospitalizations.</w:t>
      </w:r>
      <w:r>
        <w:rPr>
          <w:sz w:val="12"/>
          <w:szCs w:val="12"/>
        </w:rPr>
        <w:t xml:space="preserve"> </w:t>
      </w:r>
      <w:r w:rsidRPr="00B92190">
        <w:rPr>
          <w:b/>
          <w:bCs/>
          <w:sz w:val="12"/>
          <w:szCs w:val="12"/>
        </w:rPr>
        <w:t xml:space="preserve">CardioMEMS™ HF System Contraindications: </w:t>
      </w:r>
      <w:r w:rsidRPr="00B92190">
        <w:rPr>
          <w:sz w:val="12"/>
          <w:szCs w:val="12"/>
        </w:rPr>
        <w:t>The CardioMEMS HF System is contraindicated for patients with an inability to take dual antiplatelet or anticoagulants for one month post implant.</w:t>
      </w:r>
      <w:r>
        <w:rPr>
          <w:sz w:val="12"/>
          <w:szCs w:val="12"/>
        </w:rPr>
        <w:t xml:space="preserve"> </w:t>
      </w:r>
      <w:r w:rsidRPr="00B92190">
        <w:rPr>
          <w:b/>
          <w:bCs/>
          <w:sz w:val="12"/>
          <w:szCs w:val="12"/>
        </w:rPr>
        <w:t xml:space="preserve">CardioMEMS™ HF System Potential Adverse Events: </w:t>
      </w:r>
      <w:r w:rsidRPr="00B92190">
        <w:rPr>
          <w:sz w:val="12"/>
          <w:szCs w:val="12"/>
        </w:rPr>
        <w:t>Potential adverse events associated with the implantation procedure include, but are not limited to, the following: air embolism, allergic reaction, infection, delayed wound healing, arrhythmias, bleeding, hemoptysis, hematoma, nausea, cerebrovascular accident, thrombus, cardiovascular injury, myocardial infarction, death, embolization, thermal burn, cardiac perforation, pneumothorax, thoracic duct injury and hemothorax.</w:t>
      </w:r>
    </w:p>
    <w:p w14:paraId="1B874E2D" w14:textId="77777777" w:rsidR="00F84628" w:rsidRDefault="00F84628" w:rsidP="00B92190">
      <w:pPr>
        <w:spacing w:line="240" w:lineRule="auto"/>
      </w:pPr>
    </w:p>
    <w:p w14:paraId="30CEC57E" w14:textId="77777777" w:rsidR="00F84628" w:rsidRPr="00B92190" w:rsidRDefault="00F84628" w:rsidP="00B92190">
      <w:pPr>
        <w:pStyle w:val="FootnoteLegal"/>
        <w:spacing w:line="240" w:lineRule="auto"/>
        <w:rPr>
          <w:sz w:val="12"/>
          <w:szCs w:val="12"/>
        </w:rPr>
      </w:pPr>
      <w:r w:rsidRPr="00B92190">
        <w:rPr>
          <w:sz w:val="12"/>
          <w:szCs w:val="12"/>
        </w:rPr>
        <w:t>™ Indicates a trademark of the Abbott group of companies.</w:t>
      </w:r>
    </w:p>
    <w:p w14:paraId="077B435D" w14:textId="77777777" w:rsidR="00F84628" w:rsidRPr="00B92190" w:rsidRDefault="00F84628" w:rsidP="00B92190">
      <w:pPr>
        <w:pStyle w:val="FootnoteLegal"/>
        <w:spacing w:line="240" w:lineRule="auto"/>
        <w:rPr>
          <w:sz w:val="12"/>
          <w:szCs w:val="12"/>
        </w:rPr>
      </w:pPr>
    </w:p>
    <w:p w14:paraId="1ED3F4AE" w14:textId="5A9EC807" w:rsidR="00F84628" w:rsidRPr="00B92190" w:rsidRDefault="00E420F6" w:rsidP="00B92190">
      <w:pPr>
        <w:pStyle w:val="FootnoteLegal"/>
        <w:spacing w:line="240" w:lineRule="auto"/>
        <w:rPr>
          <w:sz w:val="12"/>
          <w:szCs w:val="12"/>
        </w:rPr>
      </w:pPr>
      <w:r w:rsidRPr="00B92190">
        <w:rPr>
          <w:sz w:val="12"/>
          <w:szCs w:val="12"/>
        </w:rPr>
        <w:t>© 202</w:t>
      </w:r>
      <w:r w:rsidR="00B92190" w:rsidRPr="00B92190">
        <w:rPr>
          <w:sz w:val="12"/>
          <w:szCs w:val="12"/>
        </w:rPr>
        <w:t>4</w:t>
      </w:r>
      <w:r w:rsidR="00F84628" w:rsidRPr="00B92190">
        <w:rPr>
          <w:sz w:val="12"/>
          <w:szCs w:val="12"/>
        </w:rPr>
        <w:t xml:space="preserve"> Abbott. All Rights Reserved.</w:t>
      </w:r>
    </w:p>
    <w:p w14:paraId="445E87A6" w14:textId="77777777" w:rsidR="00F84628" w:rsidRPr="00B92190" w:rsidRDefault="00F84628" w:rsidP="00B92190">
      <w:pPr>
        <w:pStyle w:val="FootnoteLegal"/>
        <w:spacing w:line="240" w:lineRule="auto"/>
        <w:rPr>
          <w:sz w:val="12"/>
          <w:szCs w:val="12"/>
        </w:rPr>
      </w:pPr>
    </w:p>
    <w:p w14:paraId="7986B19F" w14:textId="03810724" w:rsidR="00F84628" w:rsidRPr="00B92190" w:rsidRDefault="006F14D9" w:rsidP="00B92190">
      <w:pPr>
        <w:pStyle w:val="FootnoteLegal"/>
        <w:spacing w:line="240" w:lineRule="auto"/>
        <w:rPr>
          <w:sz w:val="12"/>
          <w:szCs w:val="12"/>
        </w:rPr>
      </w:pPr>
      <w:r w:rsidRPr="00B92190">
        <w:rPr>
          <w:sz w:val="12"/>
          <w:szCs w:val="12"/>
        </w:rPr>
        <w:t>MAT-2109053 v</w:t>
      </w:r>
      <w:r w:rsidR="00B92190" w:rsidRPr="00B92190">
        <w:rPr>
          <w:sz w:val="12"/>
          <w:szCs w:val="12"/>
        </w:rPr>
        <w:t>2</w:t>
      </w:r>
      <w:r w:rsidR="00E420F6" w:rsidRPr="00B92190">
        <w:rPr>
          <w:sz w:val="12"/>
          <w:szCs w:val="12"/>
        </w:rPr>
        <w:t>.0</w:t>
      </w:r>
      <w:r w:rsidR="00664448" w:rsidRPr="00B92190">
        <w:rPr>
          <w:sz w:val="12"/>
          <w:szCs w:val="12"/>
        </w:rPr>
        <w:t xml:space="preserve"> </w:t>
      </w:r>
      <w:r w:rsidR="00F84628" w:rsidRPr="00B92190">
        <w:rPr>
          <w:sz w:val="12"/>
          <w:szCs w:val="12"/>
        </w:rPr>
        <w:t>| Item approved for</w:t>
      </w:r>
      <w:r w:rsidR="00B92190" w:rsidRPr="00B92190">
        <w:rPr>
          <w:sz w:val="12"/>
          <w:szCs w:val="12"/>
        </w:rPr>
        <w:t xml:space="preserve"> U.S.</w:t>
      </w:r>
      <w:r w:rsidR="00F84628" w:rsidRPr="00B92190">
        <w:rPr>
          <w:sz w:val="12"/>
          <w:szCs w:val="12"/>
        </w:rPr>
        <w:t xml:space="preserve"> use.  </w:t>
      </w:r>
    </w:p>
    <w:sectPr w:rsidR="00F84628" w:rsidRPr="00B92190" w:rsidSect="006D055B">
      <w:footerReference w:type="default" r:id="rId10"/>
      <w:headerReference w:type="first" r:id="rId11"/>
      <w:footerReference w:type="first" r:id="rId12"/>
      <w:pgSz w:w="12240" w:h="15840"/>
      <w:pgMar w:top="1872" w:right="1440" w:bottom="1440" w:left="1440" w:header="10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95F9" w14:textId="77777777" w:rsidR="00482305" w:rsidRDefault="00482305" w:rsidP="008737C4">
      <w:pPr>
        <w:spacing w:line="240" w:lineRule="auto"/>
      </w:pPr>
      <w:r>
        <w:separator/>
      </w:r>
    </w:p>
  </w:endnote>
  <w:endnote w:type="continuationSeparator" w:id="0">
    <w:p w14:paraId="6C9DF7D8" w14:textId="77777777" w:rsidR="00482305" w:rsidRDefault="00482305" w:rsidP="00873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1A27" w14:textId="77777777" w:rsidR="00A23874" w:rsidRDefault="00A23874">
    <w:pPr>
      <w:pStyle w:val="Footer"/>
    </w:pPr>
    <w:r>
      <w:tab/>
      <w:t xml:space="preserve">Page </w:t>
    </w:r>
    <w:r>
      <w:fldChar w:fldCharType="begin"/>
    </w:r>
    <w:r>
      <w:instrText xml:space="preserve"> PAGE </w:instrText>
    </w:r>
    <w:r>
      <w:fldChar w:fldCharType="separate"/>
    </w:r>
    <w:r w:rsidR="00E06F81">
      <w:rPr>
        <w:noProof/>
      </w:rPr>
      <w:t>2</w:t>
    </w:r>
    <w:r>
      <w:fldChar w:fldCharType="end"/>
    </w:r>
    <w:r>
      <w:t xml:space="preserve"> of </w:t>
    </w:r>
    <w:fldSimple w:instr=" NUMPAGES ">
      <w:r w:rsidR="00E06F81">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3A" w14:textId="77777777" w:rsidR="00A23874" w:rsidRPr="0070770F" w:rsidRDefault="00A23874" w:rsidP="0070770F">
    <w:pPr>
      <w:pStyle w:val="Descriptor"/>
      <w:spacing w:after="0"/>
    </w:pPr>
    <w:r w:rsidRPr="007077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A4BD" w14:textId="77777777" w:rsidR="00482305" w:rsidRDefault="00482305" w:rsidP="008737C4">
      <w:pPr>
        <w:spacing w:line="240" w:lineRule="auto"/>
      </w:pPr>
      <w:r>
        <w:separator/>
      </w:r>
    </w:p>
  </w:footnote>
  <w:footnote w:type="continuationSeparator" w:id="0">
    <w:p w14:paraId="7F7E29DE" w14:textId="77777777" w:rsidR="00482305" w:rsidRDefault="00482305" w:rsidP="008737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F84B" w14:textId="77777777" w:rsidR="00A23874" w:rsidRDefault="00A23874" w:rsidP="00E80C51">
    <w:pPr>
      <w:pStyle w:val="Header"/>
    </w:pPr>
    <w:r>
      <w:rPr>
        <w:noProof/>
        <w:lang w:eastAsia="en-US"/>
      </w:rPr>
      <mc:AlternateContent>
        <mc:Choice Requires="wps">
          <w:drawing>
            <wp:anchor distT="0" distB="0" distL="0" distR="0" simplePos="0" relativeHeight="251660287" behindDoc="1" locked="0" layoutInCell="1" allowOverlap="1" wp14:anchorId="02FD8906" wp14:editId="537E6F10">
              <wp:simplePos x="0" y="0"/>
              <wp:positionH relativeFrom="page">
                <wp:posOffset>0</wp:posOffset>
              </wp:positionH>
              <wp:positionV relativeFrom="page">
                <wp:posOffset>0</wp:posOffset>
              </wp:positionV>
              <wp:extent cx="7772400" cy="228600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7772400" cy="2286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B7280" id="Rectangle 4" o:spid="_x0000_s1026" style="position:absolute;margin-left:0;margin-top:0;width:612pt;height:180pt;z-index:-25165619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" filled="f" stroked="f">
              <w10:wrap type="square" anchorx="page" anchory="page"/>
            </v:rect>
          </w:pict>
        </mc:Fallback>
      </mc:AlternateContent>
    </w:r>
    <w:r>
      <w:rPr>
        <w:noProof/>
        <w:lang w:eastAsia="en-US"/>
      </w:rPr>
      <w:drawing>
        <wp:anchor distT="0" distB="0" distL="0" distR="0" simplePos="0" relativeHeight="251661312" behindDoc="1" locked="0" layoutInCell="1" allowOverlap="1" wp14:anchorId="3477A862" wp14:editId="6D8393D6">
          <wp:simplePos x="0" y="0"/>
          <wp:positionH relativeFrom="page">
            <wp:posOffset>914400</wp:posOffset>
          </wp:positionH>
          <wp:positionV relativeFrom="page">
            <wp:posOffset>685800</wp:posOffset>
          </wp:positionV>
          <wp:extent cx="800100" cy="91092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09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4C6"/>
    <w:multiLevelType w:val="multilevel"/>
    <w:tmpl w:val="18641166"/>
    <w:lvl w:ilvl="0">
      <w:start w:val="1"/>
      <w:numFmt w:val="bullet"/>
      <w:pStyle w:val="BodyBullets"/>
      <w:lvlText w:val="•"/>
      <w:lvlJc w:val="left"/>
      <w:pPr>
        <w:tabs>
          <w:tab w:val="num" w:pos="288"/>
        </w:tabs>
        <w:ind w:left="288" w:hanging="288"/>
      </w:pPr>
      <w:rPr>
        <w:rFonts w:ascii="Georgia" w:hAnsi="Georgia" w:hint="default"/>
      </w:rPr>
    </w:lvl>
    <w:lvl w:ilvl="1">
      <w:start w:val="1"/>
      <w:numFmt w:val="bullet"/>
      <w:lvlText w:val="–"/>
      <w:lvlJc w:val="left"/>
      <w:pPr>
        <w:tabs>
          <w:tab w:val="num" w:pos="576"/>
        </w:tabs>
        <w:ind w:left="576" w:hanging="288"/>
      </w:pPr>
      <w:rPr>
        <w:rFonts w:ascii="Georgia" w:hAnsi="Georgia" w:hint="default"/>
      </w:rPr>
    </w:lvl>
    <w:lvl w:ilvl="2">
      <w:start w:val="1"/>
      <w:numFmt w:val="bullet"/>
      <w:lvlText w:val="–"/>
      <w:lvlJc w:val="left"/>
      <w:pPr>
        <w:tabs>
          <w:tab w:val="num" w:pos="864"/>
        </w:tabs>
        <w:ind w:left="864" w:hanging="288"/>
      </w:pPr>
      <w:rPr>
        <w:rFonts w:ascii="Georgia" w:hAnsi="Georgia" w:hint="default"/>
      </w:rPr>
    </w:lvl>
    <w:lvl w:ilvl="3">
      <w:start w:val="1"/>
      <w:numFmt w:val="bullet"/>
      <w:lvlText w:val="–"/>
      <w:lvlJc w:val="left"/>
      <w:pPr>
        <w:tabs>
          <w:tab w:val="num" w:pos="1152"/>
        </w:tabs>
        <w:ind w:left="1152" w:hanging="288"/>
      </w:pPr>
      <w:rPr>
        <w:rFonts w:ascii="Georgia" w:hAnsi="Georgia" w:hint="default"/>
      </w:rPr>
    </w:lvl>
    <w:lvl w:ilvl="4">
      <w:start w:val="1"/>
      <w:numFmt w:val="bullet"/>
      <w:lvlText w:val="–"/>
      <w:lvlJc w:val="left"/>
      <w:pPr>
        <w:tabs>
          <w:tab w:val="num" w:pos="1440"/>
        </w:tabs>
        <w:ind w:left="1440" w:hanging="288"/>
      </w:pPr>
      <w:rPr>
        <w:rFonts w:ascii="Georgia" w:hAnsi="Georgia" w:hint="default"/>
      </w:rPr>
    </w:lvl>
    <w:lvl w:ilvl="5">
      <w:start w:val="1"/>
      <w:numFmt w:val="bullet"/>
      <w:lvlText w:val="–"/>
      <w:lvlJc w:val="left"/>
      <w:pPr>
        <w:tabs>
          <w:tab w:val="num" w:pos="1728"/>
        </w:tabs>
        <w:ind w:left="1728" w:hanging="288"/>
      </w:pPr>
      <w:rPr>
        <w:rFonts w:ascii="Georgia" w:hAnsi="Georgia" w:hint="default"/>
      </w:rPr>
    </w:lvl>
    <w:lvl w:ilvl="6">
      <w:start w:val="1"/>
      <w:numFmt w:val="bullet"/>
      <w:lvlText w:val="–"/>
      <w:lvlJc w:val="left"/>
      <w:pPr>
        <w:tabs>
          <w:tab w:val="num" w:pos="2016"/>
        </w:tabs>
        <w:ind w:left="2016" w:hanging="288"/>
      </w:pPr>
      <w:rPr>
        <w:rFonts w:ascii="Georgia" w:hAnsi="Georgia" w:hint="default"/>
      </w:rPr>
    </w:lvl>
    <w:lvl w:ilvl="7">
      <w:start w:val="1"/>
      <w:numFmt w:val="bullet"/>
      <w:lvlText w:val="–"/>
      <w:lvlJc w:val="left"/>
      <w:pPr>
        <w:tabs>
          <w:tab w:val="num" w:pos="2304"/>
        </w:tabs>
        <w:ind w:left="2304" w:hanging="288"/>
      </w:pPr>
      <w:rPr>
        <w:rFonts w:ascii="Georgia" w:hAnsi="Georgia" w:hint="default"/>
      </w:rPr>
    </w:lvl>
    <w:lvl w:ilvl="8">
      <w:start w:val="1"/>
      <w:numFmt w:val="bullet"/>
      <w:lvlText w:val="–"/>
      <w:lvlJc w:val="left"/>
      <w:pPr>
        <w:ind w:left="2592" w:hanging="288"/>
      </w:pPr>
      <w:rPr>
        <w:rFonts w:ascii="Georgia" w:hAnsi="Georgia" w:hint="default"/>
      </w:rPr>
    </w:lvl>
  </w:abstractNum>
  <w:abstractNum w:abstractNumId="1" w15:restartNumberingAfterBreak="0">
    <w:nsid w:val="376A10CC"/>
    <w:multiLevelType w:val="multilevel"/>
    <w:tmpl w:val="F9CC952C"/>
    <w:lvl w:ilvl="0">
      <w:start w:val="1"/>
      <w:numFmt w:val="decimal"/>
      <w:pStyle w:val="BodyNumbers"/>
      <w:lvlText w:val="%1."/>
      <w:lvlJc w:val="left"/>
      <w:pPr>
        <w:ind w:left="288" w:hanging="288"/>
      </w:pPr>
      <w:rPr>
        <w:rFonts w:ascii="Georgia" w:hAnsi="Georgia" w:hint="default"/>
      </w:rPr>
    </w:lvl>
    <w:lvl w:ilvl="1">
      <w:start w:val="1"/>
      <w:numFmt w:val="lowerLetter"/>
      <w:lvlText w:val="%2."/>
      <w:lvlJc w:val="left"/>
      <w:pPr>
        <w:tabs>
          <w:tab w:val="num" w:pos="576"/>
        </w:tabs>
        <w:ind w:left="576" w:hanging="288"/>
      </w:pPr>
      <w:rPr>
        <w:rFonts w:ascii="Georgia" w:hAnsi="Georgia" w:hint="default"/>
      </w:rPr>
    </w:lvl>
    <w:lvl w:ilvl="2">
      <w:start w:val="1"/>
      <w:numFmt w:val="lowerRoman"/>
      <w:lvlText w:val="%3."/>
      <w:lvlJc w:val="left"/>
      <w:pPr>
        <w:tabs>
          <w:tab w:val="num" w:pos="864"/>
        </w:tabs>
        <w:ind w:left="864" w:hanging="288"/>
      </w:pPr>
      <w:rPr>
        <w:rFonts w:ascii="Georgia" w:hAnsi="Georgia" w:hint="default"/>
      </w:rPr>
    </w:lvl>
    <w:lvl w:ilvl="3">
      <w:start w:val="1"/>
      <w:numFmt w:val="decimal"/>
      <w:lvlText w:val="%4)"/>
      <w:lvlJc w:val="left"/>
      <w:pPr>
        <w:tabs>
          <w:tab w:val="num" w:pos="1152"/>
        </w:tabs>
        <w:ind w:left="1152" w:hanging="288"/>
      </w:pPr>
      <w:rPr>
        <w:rFonts w:ascii="Georgia" w:hAnsi="Georgia" w:hint="default"/>
      </w:rPr>
    </w:lvl>
    <w:lvl w:ilvl="4">
      <w:start w:val="1"/>
      <w:numFmt w:val="lowerLetter"/>
      <w:lvlText w:val="%5)"/>
      <w:lvlJc w:val="left"/>
      <w:pPr>
        <w:tabs>
          <w:tab w:val="num" w:pos="1440"/>
        </w:tabs>
        <w:ind w:left="1440" w:hanging="288"/>
      </w:pPr>
      <w:rPr>
        <w:rFonts w:ascii="Georgia" w:hAnsi="Georgia" w:hint="default"/>
      </w:rPr>
    </w:lvl>
    <w:lvl w:ilvl="5">
      <w:start w:val="1"/>
      <w:numFmt w:val="lowerRoman"/>
      <w:lvlText w:val="%6)"/>
      <w:lvlJc w:val="left"/>
      <w:pPr>
        <w:tabs>
          <w:tab w:val="num" w:pos="1728"/>
        </w:tabs>
        <w:ind w:left="1728" w:hanging="288"/>
      </w:pPr>
      <w:rPr>
        <w:rFonts w:ascii="Georgia" w:hAnsi="Georgia" w:hint="default"/>
      </w:rPr>
    </w:lvl>
    <w:lvl w:ilvl="6">
      <w:start w:val="1"/>
      <w:numFmt w:val="decimal"/>
      <w:lvlText w:val="(%7)"/>
      <w:lvlJc w:val="left"/>
      <w:pPr>
        <w:tabs>
          <w:tab w:val="num" w:pos="2016"/>
        </w:tabs>
        <w:ind w:left="2016" w:hanging="288"/>
      </w:pPr>
      <w:rPr>
        <w:rFonts w:ascii="Georgia" w:hAnsi="Georgia" w:hint="default"/>
      </w:rPr>
    </w:lvl>
    <w:lvl w:ilvl="7">
      <w:start w:val="1"/>
      <w:numFmt w:val="lowerLetter"/>
      <w:lvlText w:val="(%8)"/>
      <w:lvlJc w:val="left"/>
      <w:pPr>
        <w:tabs>
          <w:tab w:val="num" w:pos="2304"/>
        </w:tabs>
        <w:ind w:left="2304" w:hanging="288"/>
      </w:pPr>
      <w:rPr>
        <w:rFonts w:ascii="Georgia" w:hAnsi="Georgia" w:hint="default"/>
      </w:rPr>
    </w:lvl>
    <w:lvl w:ilvl="8">
      <w:start w:val="1"/>
      <w:numFmt w:val="lowerRoman"/>
      <w:lvlText w:val="(%9)"/>
      <w:lvlJc w:val="left"/>
      <w:pPr>
        <w:ind w:left="2592" w:hanging="288"/>
      </w:pPr>
      <w:rPr>
        <w:rFonts w:ascii="Georgia" w:hAnsi="Georgia" w:hint="default"/>
      </w:rPr>
    </w:lvl>
  </w:abstractNum>
  <w:num w:numId="1" w16cid:durableId="1148671990">
    <w:abstractNumId w:val="0"/>
  </w:num>
  <w:num w:numId="2" w16cid:durableId="232158983">
    <w:abstractNumId w:val="1"/>
  </w:num>
  <w:num w:numId="3" w16cid:durableId="1409569434">
    <w:abstractNumId w:val="0"/>
  </w:num>
  <w:num w:numId="4" w16cid:durableId="1569613549">
    <w:abstractNumId w:val="1"/>
  </w:num>
  <w:num w:numId="5" w16cid:durableId="184641032">
    <w:abstractNumId w:val="0"/>
  </w:num>
  <w:num w:numId="6" w16cid:durableId="406340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628"/>
    <w:rsid w:val="0001569E"/>
    <w:rsid w:val="0003188D"/>
    <w:rsid w:val="000369EE"/>
    <w:rsid w:val="00053945"/>
    <w:rsid w:val="00084CD2"/>
    <w:rsid w:val="000945FA"/>
    <w:rsid w:val="00095AAB"/>
    <w:rsid w:val="000A6841"/>
    <w:rsid w:val="000A7369"/>
    <w:rsid w:val="000E12EA"/>
    <w:rsid w:val="00104263"/>
    <w:rsid w:val="00145342"/>
    <w:rsid w:val="00157825"/>
    <w:rsid w:val="0017482A"/>
    <w:rsid w:val="001870C5"/>
    <w:rsid w:val="001E0452"/>
    <w:rsid w:val="001E733F"/>
    <w:rsid w:val="00211201"/>
    <w:rsid w:val="0022015D"/>
    <w:rsid w:val="00245FED"/>
    <w:rsid w:val="0025217F"/>
    <w:rsid w:val="002578FF"/>
    <w:rsid w:val="00264058"/>
    <w:rsid w:val="00276CA8"/>
    <w:rsid w:val="0028328A"/>
    <w:rsid w:val="002858EE"/>
    <w:rsid w:val="00285CD3"/>
    <w:rsid w:val="00296409"/>
    <w:rsid w:val="002B7355"/>
    <w:rsid w:val="002C6125"/>
    <w:rsid w:val="002D0FF6"/>
    <w:rsid w:val="003055FF"/>
    <w:rsid w:val="00337CBE"/>
    <w:rsid w:val="00346F63"/>
    <w:rsid w:val="00361723"/>
    <w:rsid w:val="003934B2"/>
    <w:rsid w:val="003A3225"/>
    <w:rsid w:val="003A7DE1"/>
    <w:rsid w:val="003B4192"/>
    <w:rsid w:val="003C1623"/>
    <w:rsid w:val="003E614A"/>
    <w:rsid w:val="004119CA"/>
    <w:rsid w:val="00445C56"/>
    <w:rsid w:val="00482305"/>
    <w:rsid w:val="00486A5C"/>
    <w:rsid w:val="00487342"/>
    <w:rsid w:val="004A355B"/>
    <w:rsid w:val="004A4A39"/>
    <w:rsid w:val="004C2C09"/>
    <w:rsid w:val="004D49F8"/>
    <w:rsid w:val="005002B5"/>
    <w:rsid w:val="00503C31"/>
    <w:rsid w:val="00507849"/>
    <w:rsid w:val="005167A7"/>
    <w:rsid w:val="00520A75"/>
    <w:rsid w:val="00525F96"/>
    <w:rsid w:val="005333DB"/>
    <w:rsid w:val="00535918"/>
    <w:rsid w:val="00536FE8"/>
    <w:rsid w:val="005A1A58"/>
    <w:rsid w:val="005A3EC8"/>
    <w:rsid w:val="005E31E3"/>
    <w:rsid w:val="006004DA"/>
    <w:rsid w:val="00604747"/>
    <w:rsid w:val="00615665"/>
    <w:rsid w:val="006514DC"/>
    <w:rsid w:val="00663DC0"/>
    <w:rsid w:val="00664448"/>
    <w:rsid w:val="006822B9"/>
    <w:rsid w:val="00691A04"/>
    <w:rsid w:val="00692796"/>
    <w:rsid w:val="006B5392"/>
    <w:rsid w:val="006D055B"/>
    <w:rsid w:val="006E79A6"/>
    <w:rsid w:val="006F14D9"/>
    <w:rsid w:val="00700DB3"/>
    <w:rsid w:val="0070770F"/>
    <w:rsid w:val="00720439"/>
    <w:rsid w:val="007374B4"/>
    <w:rsid w:val="00745254"/>
    <w:rsid w:val="00745BBD"/>
    <w:rsid w:val="007655B1"/>
    <w:rsid w:val="0078563A"/>
    <w:rsid w:val="00795F98"/>
    <w:rsid w:val="007A6594"/>
    <w:rsid w:val="007B597F"/>
    <w:rsid w:val="008018A0"/>
    <w:rsid w:val="00812B9F"/>
    <w:rsid w:val="00831768"/>
    <w:rsid w:val="00834CE2"/>
    <w:rsid w:val="008415AF"/>
    <w:rsid w:val="00841E22"/>
    <w:rsid w:val="008439A5"/>
    <w:rsid w:val="008572B7"/>
    <w:rsid w:val="00871DEA"/>
    <w:rsid w:val="008737C4"/>
    <w:rsid w:val="008A67B0"/>
    <w:rsid w:val="008E7877"/>
    <w:rsid w:val="008F2367"/>
    <w:rsid w:val="00917B2E"/>
    <w:rsid w:val="0092561E"/>
    <w:rsid w:val="0094093F"/>
    <w:rsid w:val="0094369C"/>
    <w:rsid w:val="0098600E"/>
    <w:rsid w:val="0099174E"/>
    <w:rsid w:val="00997AEE"/>
    <w:rsid w:val="009B4046"/>
    <w:rsid w:val="009B5340"/>
    <w:rsid w:val="009C3954"/>
    <w:rsid w:val="009C74E6"/>
    <w:rsid w:val="009D5964"/>
    <w:rsid w:val="009E6F2F"/>
    <w:rsid w:val="00A12D13"/>
    <w:rsid w:val="00A12D17"/>
    <w:rsid w:val="00A23874"/>
    <w:rsid w:val="00A239E2"/>
    <w:rsid w:val="00A2446E"/>
    <w:rsid w:val="00A31EC0"/>
    <w:rsid w:val="00A36E52"/>
    <w:rsid w:val="00A54778"/>
    <w:rsid w:val="00A6785F"/>
    <w:rsid w:val="00A70C7B"/>
    <w:rsid w:val="00A77C3A"/>
    <w:rsid w:val="00AA445F"/>
    <w:rsid w:val="00AB2E7C"/>
    <w:rsid w:val="00AC26AF"/>
    <w:rsid w:val="00AC4311"/>
    <w:rsid w:val="00B11565"/>
    <w:rsid w:val="00B15BF7"/>
    <w:rsid w:val="00B22125"/>
    <w:rsid w:val="00B41760"/>
    <w:rsid w:val="00B65976"/>
    <w:rsid w:val="00B774E1"/>
    <w:rsid w:val="00B86F27"/>
    <w:rsid w:val="00B92190"/>
    <w:rsid w:val="00B9342A"/>
    <w:rsid w:val="00BA09AB"/>
    <w:rsid w:val="00BF2ADB"/>
    <w:rsid w:val="00BF30C2"/>
    <w:rsid w:val="00C316E9"/>
    <w:rsid w:val="00C42673"/>
    <w:rsid w:val="00C43883"/>
    <w:rsid w:val="00C63F97"/>
    <w:rsid w:val="00C67375"/>
    <w:rsid w:val="00C7572B"/>
    <w:rsid w:val="00C76EBA"/>
    <w:rsid w:val="00C80BA2"/>
    <w:rsid w:val="00C87EDA"/>
    <w:rsid w:val="00CA440D"/>
    <w:rsid w:val="00CC54EB"/>
    <w:rsid w:val="00CE0080"/>
    <w:rsid w:val="00CF39D1"/>
    <w:rsid w:val="00D02B39"/>
    <w:rsid w:val="00D14712"/>
    <w:rsid w:val="00D24528"/>
    <w:rsid w:val="00D344CB"/>
    <w:rsid w:val="00D3787A"/>
    <w:rsid w:val="00D512E8"/>
    <w:rsid w:val="00D6372B"/>
    <w:rsid w:val="00D81F34"/>
    <w:rsid w:val="00D82088"/>
    <w:rsid w:val="00DD63BF"/>
    <w:rsid w:val="00E0488B"/>
    <w:rsid w:val="00E06F81"/>
    <w:rsid w:val="00E420F6"/>
    <w:rsid w:val="00E43C04"/>
    <w:rsid w:val="00E563F5"/>
    <w:rsid w:val="00E5658C"/>
    <w:rsid w:val="00E7105D"/>
    <w:rsid w:val="00E80C51"/>
    <w:rsid w:val="00E958E3"/>
    <w:rsid w:val="00EB12EF"/>
    <w:rsid w:val="00EC1F67"/>
    <w:rsid w:val="00EC63BB"/>
    <w:rsid w:val="00F34BF0"/>
    <w:rsid w:val="00F43143"/>
    <w:rsid w:val="00F47103"/>
    <w:rsid w:val="00F84628"/>
    <w:rsid w:val="00F94100"/>
    <w:rsid w:val="00FB3516"/>
    <w:rsid w:val="00FD32A4"/>
    <w:rsid w:val="00FE74C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59E683F"/>
  <w15:docId w15:val="{99007884-D1CD-453D-A883-F16CF082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FF"/>
    <w:pPr>
      <w:suppressAutoHyphens/>
      <w:spacing w:line="280" w:lineRule="atLeast"/>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15D"/>
    <w:pPr>
      <w:tabs>
        <w:tab w:val="left" w:pos="7416"/>
      </w:tabs>
    </w:pPr>
  </w:style>
  <w:style w:type="character" w:customStyle="1" w:styleId="HeaderChar">
    <w:name w:val="Header Char"/>
    <w:basedOn w:val="DefaultParagraphFont"/>
    <w:link w:val="Header"/>
    <w:uiPriority w:val="99"/>
    <w:rsid w:val="0022015D"/>
    <w:rPr>
      <w:sz w:val="19"/>
      <w:szCs w:val="19"/>
    </w:rPr>
  </w:style>
  <w:style w:type="paragraph" w:styleId="Footer">
    <w:name w:val="footer"/>
    <w:basedOn w:val="Normal"/>
    <w:link w:val="FooterChar"/>
    <w:uiPriority w:val="99"/>
    <w:unhideWhenUsed/>
    <w:rsid w:val="00A23874"/>
    <w:pPr>
      <w:tabs>
        <w:tab w:val="left" w:pos="7416"/>
      </w:tabs>
    </w:pPr>
  </w:style>
  <w:style w:type="character" w:customStyle="1" w:styleId="FooterChar">
    <w:name w:val="Footer Char"/>
    <w:basedOn w:val="DefaultParagraphFont"/>
    <w:link w:val="Footer"/>
    <w:uiPriority w:val="99"/>
    <w:rsid w:val="00A23874"/>
    <w:rPr>
      <w:sz w:val="19"/>
      <w:szCs w:val="19"/>
    </w:rPr>
  </w:style>
  <w:style w:type="character" w:styleId="Hyperlink">
    <w:name w:val="Hyperlink"/>
    <w:basedOn w:val="DefaultParagraphFont"/>
    <w:uiPriority w:val="99"/>
    <w:unhideWhenUsed/>
    <w:rsid w:val="0070770F"/>
    <w:rPr>
      <w:color w:val="009CDE"/>
      <w:u w:val="none"/>
    </w:rPr>
  </w:style>
  <w:style w:type="character" w:styleId="FollowedHyperlink">
    <w:name w:val="FollowedHyperlink"/>
    <w:basedOn w:val="DefaultParagraphFont"/>
    <w:uiPriority w:val="99"/>
    <w:semiHidden/>
    <w:unhideWhenUsed/>
    <w:rsid w:val="0070770F"/>
    <w:rPr>
      <w:color w:val="009CDE"/>
      <w:u w:val="none"/>
    </w:rPr>
  </w:style>
  <w:style w:type="table" w:styleId="TableGrid">
    <w:name w:val="Table Grid"/>
    <w:basedOn w:val="TableNormal"/>
    <w:uiPriority w:val="59"/>
    <w:rsid w:val="00BA09AB"/>
    <w:tblPr>
      <w:tblBorders>
        <w:top w:val="single" w:sz="4" w:space="0" w:color="auto"/>
        <w:bottom w:val="single" w:sz="4" w:space="0" w:color="auto"/>
        <w:insideH w:val="single" w:sz="4" w:space="0" w:color="auto"/>
      </w:tblBorders>
      <w:tblCellMar>
        <w:left w:w="0" w:type="dxa"/>
        <w:right w:w="0" w:type="dxa"/>
      </w:tblCellMar>
    </w:tblPr>
  </w:style>
  <w:style w:type="paragraph" w:styleId="ListParagraph">
    <w:name w:val="List Paragraph"/>
    <w:basedOn w:val="Normal"/>
    <w:uiPriority w:val="34"/>
    <w:rsid w:val="003A7DE1"/>
    <w:pPr>
      <w:ind w:left="720"/>
      <w:contextualSpacing/>
    </w:pPr>
  </w:style>
  <w:style w:type="paragraph" w:customStyle="1" w:styleId="BodyBullets">
    <w:name w:val="Body Bullets"/>
    <w:basedOn w:val="ListParagraph"/>
    <w:uiPriority w:val="9"/>
    <w:qFormat/>
    <w:rsid w:val="003A7DE1"/>
    <w:pPr>
      <w:numPr>
        <w:numId w:val="5"/>
      </w:numPr>
    </w:pPr>
  </w:style>
  <w:style w:type="paragraph" w:customStyle="1" w:styleId="Descriptor">
    <w:name w:val="Descriptor"/>
    <w:basedOn w:val="Normal"/>
    <w:uiPriority w:val="9"/>
    <w:rsid w:val="00D344CB"/>
    <w:pPr>
      <w:tabs>
        <w:tab w:val="left" w:pos="7416"/>
      </w:tabs>
      <w:spacing w:after="80" w:line="200" w:lineRule="atLeast"/>
    </w:pPr>
    <w:rPr>
      <w:rFonts w:ascii="Calibri" w:hAnsi="Calibri"/>
      <w:b/>
      <w:bCs/>
      <w:caps/>
      <w:color w:val="009CDE"/>
      <w:spacing w:val="4"/>
      <w:sz w:val="16"/>
      <w:szCs w:val="16"/>
    </w:rPr>
  </w:style>
  <w:style w:type="paragraph" w:customStyle="1" w:styleId="FootnoteLegal">
    <w:name w:val="Footnote/Legal"/>
    <w:basedOn w:val="Normal"/>
    <w:link w:val="FootnoteLegalChar"/>
    <w:uiPriority w:val="9"/>
    <w:qFormat/>
    <w:rsid w:val="00C63F97"/>
    <w:pPr>
      <w:spacing w:line="200" w:lineRule="atLeast"/>
    </w:pPr>
    <w:rPr>
      <w:sz w:val="16"/>
      <w:szCs w:val="16"/>
    </w:rPr>
  </w:style>
  <w:style w:type="character" w:customStyle="1" w:styleId="FootnoteLegalChar">
    <w:name w:val="Footnote/Legal Char"/>
    <w:basedOn w:val="DefaultParagraphFont"/>
    <w:link w:val="FootnoteLegal"/>
    <w:uiPriority w:val="9"/>
    <w:rsid w:val="00C63F97"/>
    <w:rPr>
      <w:sz w:val="16"/>
      <w:szCs w:val="16"/>
    </w:rPr>
  </w:style>
  <w:style w:type="paragraph" w:customStyle="1" w:styleId="BodyNumbers">
    <w:name w:val="Body Numbers"/>
    <w:basedOn w:val="ListParagraph"/>
    <w:uiPriority w:val="9"/>
    <w:qFormat/>
    <w:rsid w:val="003A7DE1"/>
    <w:pPr>
      <w:numPr>
        <w:numId w:val="6"/>
      </w:numPr>
    </w:pPr>
  </w:style>
  <w:style w:type="paragraph" w:customStyle="1" w:styleId="ReturnAddress">
    <w:name w:val="Return Address"/>
    <w:basedOn w:val="Normal"/>
    <w:uiPriority w:val="9"/>
    <w:rsid w:val="0070770F"/>
    <w:pPr>
      <w:spacing w:after="80" w:line="200" w:lineRule="atLeast"/>
    </w:pPr>
    <w:rPr>
      <w:color w:val="63666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3140">
      <w:bodyDiv w:val="1"/>
      <w:marLeft w:val="0"/>
      <w:marRight w:val="0"/>
      <w:marTop w:val="0"/>
      <w:marBottom w:val="0"/>
      <w:divBdr>
        <w:top w:val="none" w:sz="0" w:space="0" w:color="auto"/>
        <w:left w:val="none" w:sz="0" w:space="0" w:color="auto"/>
        <w:bottom w:val="none" w:sz="0" w:space="0" w:color="auto"/>
        <w:right w:val="none" w:sz="0" w:space="0" w:color="auto"/>
      </w:divBdr>
    </w:div>
    <w:div w:id="1289167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yK01\Downloads\Abbott%20Letterhead_Color%20(3).dotx" TargetMode="External"/></Relationships>
</file>

<file path=word/theme/theme1.xml><?xml version="1.0" encoding="utf-8"?>
<a:theme xmlns:a="http://schemas.openxmlformats.org/drawingml/2006/main" name="Office Theme">
  <a:themeElements>
    <a:clrScheme name="Abbott">
      <a:dk1>
        <a:sysClr val="windowText" lastClr="000000"/>
      </a:dk1>
      <a:lt1>
        <a:sysClr val="window" lastClr="FFFFFF"/>
      </a:lt1>
      <a:dk2>
        <a:srgbClr val="009CDE"/>
      </a:dk2>
      <a:lt2>
        <a:srgbClr val="D9D9D6"/>
      </a:lt2>
      <a:accent1>
        <a:srgbClr val="009CDE"/>
      </a:accent1>
      <a:accent2>
        <a:srgbClr val="004F71"/>
      </a:accent2>
      <a:accent3>
        <a:srgbClr val="64CCC9"/>
      </a:accent3>
      <a:accent4>
        <a:srgbClr val="E06A54"/>
      </a:accent4>
      <a:accent5>
        <a:srgbClr val="009A17"/>
      </a:accent5>
      <a:accent6>
        <a:srgbClr val="63666A"/>
      </a:accent6>
      <a:hlink>
        <a:srgbClr val="009CDE"/>
      </a:hlink>
      <a:folHlink>
        <a:srgbClr val="009CDE"/>
      </a:folHlink>
    </a:clrScheme>
    <a:fontScheme name="Abbott">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B05E7DB76DE4CB9ABE9B6F06D59DF" ma:contentTypeVersion="13" ma:contentTypeDescription="Create a new document." ma:contentTypeScope="" ma:versionID="07d62d623428fcc948b8589c3e988001">
  <xsd:schema xmlns:xsd="http://www.w3.org/2001/XMLSchema" xmlns:xs="http://www.w3.org/2001/XMLSchema" xmlns:p="http://schemas.microsoft.com/office/2006/metadata/properties" xmlns:ns3="08ca1328-2060-4db5-823f-32c7f4f1dc64" xmlns:ns4="57d5c21e-5db8-492b-ab8e-09cae8eac4a7" targetNamespace="http://schemas.microsoft.com/office/2006/metadata/properties" ma:root="true" ma:fieldsID="b8f1ba3f33447b315c025fa7a391c55b" ns3:_="" ns4:_="">
    <xsd:import namespace="08ca1328-2060-4db5-823f-32c7f4f1dc64"/>
    <xsd:import namespace="57d5c21e-5db8-492b-ab8e-09cae8eac4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a1328-2060-4db5-823f-32c7f4f1d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d5c21e-5db8-492b-ab8e-09cae8eac4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38A7D-43D1-4EFF-ADB2-3CBB9260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a1328-2060-4db5-823f-32c7f4f1dc64"/>
    <ds:schemaRef ds:uri="57d5c21e-5db8-492b-ab8e-09cae8ea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BFAD5-9F02-4F52-B6FE-4C324F9DF4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2AF1B7-082A-44F7-BE13-05733E220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Abbott Letterhead_Color (3)</Template>
  <TotalTime>8</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Abbott Letterhead</vt:lpstr>
    </vt:vector>
  </TitlesOfParts>
  <Company>St. Jude Medical</Company>
  <LinksUpToDate>false</LinksUpToDate>
  <CharactersWithSpaces>2489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Letterhead</dc:title>
  <dc:creator>St. Jude Medical</dc:creator>
  <cp:lastModifiedBy>Saklecha, Rohit</cp:lastModifiedBy>
  <cp:revision>4</cp:revision>
  <dcterms:created xsi:type="dcterms:W3CDTF">2021-07-01T14:21:00Z</dcterms:created>
  <dcterms:modified xsi:type="dcterms:W3CDTF">2024-06-04T20:49:00Z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0x010100641B05E7DB76DE4CB9ABE9B6F06D59DF</vt:lpwstr>
  </property>
</Properties>
</file>